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38" w:rsidRPr="00233B6F" w:rsidRDefault="00AF6038" w:rsidP="00AF6038">
      <w:pPr>
        <w:pBdr>
          <w:top w:val="single" w:sz="4" w:space="1" w:color="000000"/>
        </w:pBd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C119D" w:rsidRPr="00EE7A60" w:rsidRDefault="00EE7A60" w:rsidP="00EC119D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bCs/>
          <w:szCs w:val="24"/>
        </w:rPr>
      </w:pPr>
      <w:r w:rsidRPr="00EE7A60">
        <w:rPr>
          <w:rFonts w:ascii="Times New Roman" w:hAnsi="Times New Roman" w:cs="Times New Roman"/>
          <w:b/>
          <w:bCs/>
          <w:szCs w:val="24"/>
        </w:rPr>
        <w:t>ORDENANZA Nº 112</w:t>
      </w:r>
      <w:r w:rsidR="00A94A6E" w:rsidRPr="00EE7A60">
        <w:rPr>
          <w:rFonts w:ascii="Times New Roman" w:hAnsi="Times New Roman" w:cs="Times New Roman"/>
          <w:b/>
          <w:bCs/>
          <w:szCs w:val="24"/>
        </w:rPr>
        <w:t>-</w:t>
      </w:r>
      <w:r w:rsidR="00EC119D" w:rsidRPr="00EE7A60">
        <w:rPr>
          <w:rFonts w:ascii="Times New Roman" w:hAnsi="Times New Roman" w:cs="Times New Roman"/>
          <w:b/>
          <w:bCs/>
          <w:szCs w:val="24"/>
        </w:rPr>
        <w:t>HCDPF-2022</w:t>
      </w:r>
    </w:p>
    <w:p w:rsidR="008868F7" w:rsidRPr="00EE7A60" w:rsidRDefault="008868F7" w:rsidP="008868F7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EE7A60">
        <w:rPr>
          <w:rFonts w:ascii="Times New Roman" w:hAnsi="Times New Roman" w:cs="Times New Roman"/>
          <w:szCs w:val="24"/>
        </w:rPr>
        <w:t xml:space="preserve">Potrero de los Funes </w:t>
      </w:r>
      <w:r w:rsidR="00EE7A60" w:rsidRPr="00EE7A60">
        <w:rPr>
          <w:rFonts w:ascii="Times New Roman" w:hAnsi="Times New Roman" w:cs="Times New Roman"/>
          <w:szCs w:val="24"/>
        </w:rPr>
        <w:t>12</w:t>
      </w:r>
      <w:r w:rsidR="00577594" w:rsidRPr="00EE7A60">
        <w:rPr>
          <w:rFonts w:ascii="Times New Roman" w:hAnsi="Times New Roman" w:cs="Times New Roman"/>
          <w:szCs w:val="24"/>
        </w:rPr>
        <w:t xml:space="preserve"> de octubre</w:t>
      </w:r>
      <w:r w:rsidRPr="00EE7A60">
        <w:rPr>
          <w:rFonts w:ascii="Times New Roman" w:hAnsi="Times New Roman" w:cs="Times New Roman"/>
          <w:szCs w:val="24"/>
        </w:rPr>
        <w:t xml:space="preserve"> de 2022</w:t>
      </w:r>
    </w:p>
    <w:p w:rsidR="00847EF9" w:rsidRPr="00EE7A60" w:rsidRDefault="00847EF9" w:rsidP="00847EF9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center"/>
        <w:rPr>
          <w:rFonts w:eastAsia="Arial"/>
          <w:sz w:val="22"/>
          <w:u w:val="single"/>
        </w:rPr>
      </w:pPr>
      <w:r w:rsidRPr="00EE7A60">
        <w:rPr>
          <w:rFonts w:eastAsia="Arial"/>
          <w:b/>
          <w:sz w:val="22"/>
          <w:u w:val="single"/>
        </w:rPr>
        <w:t>ADHESION LEY PROVINCIAL Nº V-0924-2015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center"/>
        <w:rPr>
          <w:rFonts w:eastAsia="Arial"/>
          <w:sz w:val="22"/>
          <w:u w:val="single"/>
        </w:rPr>
      </w:pPr>
      <w:r w:rsidRPr="00EE7A60">
        <w:rPr>
          <w:rFonts w:eastAsia="Arial"/>
          <w:b/>
          <w:sz w:val="22"/>
          <w:u w:val="single"/>
        </w:rPr>
        <w:t>REGIMEN DE ACCESO A LA INFORMACION PÚBLICA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rPr>
          <w:rFonts w:eastAsia="Arial"/>
          <w:sz w:val="22"/>
        </w:rPr>
      </w:pP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rPr>
          <w:rFonts w:eastAsia="Arial"/>
          <w:sz w:val="22"/>
        </w:rPr>
      </w:pP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b/>
          <w:sz w:val="22"/>
        </w:rPr>
        <w:t>VISTO: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La Ley Nº V-0924-2015 de Régimen de Acceso a la Información Pública de la provincia de San Luis;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b/>
          <w:sz w:val="22"/>
        </w:rPr>
        <w:t>Y CONSIDERANDO: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Que la publicidad de los actos de gobierno constituye un pilar elemental en el que se asienta el sistema republicano que adopta la Constitución Nacional y Provincial.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Que, el artículo 9º de nuestra Constitución Provincial establece que: “</w:t>
      </w:r>
      <w:r w:rsidRPr="00EE7A60">
        <w:rPr>
          <w:rFonts w:eastAsia="Arial"/>
          <w:i/>
          <w:sz w:val="22"/>
        </w:rPr>
        <w:t>Todos los actos de gobierno deben ser publicados en la forma, medio y modo que la ley determina, garantizando su plena difusión; en especial aquellos relacionados con la percepción, gastos e inversión de la renta pública y toda enajenación o afectación de bienes del Estado Provincial. La violación a esta norma produce la nulidad absoluta del acto administrativo, sin perjuicio de las responsabilidades políticas, civiles y penales que le correspondan a los intervinientes en el acto</w:t>
      </w:r>
      <w:r w:rsidRPr="00EE7A60">
        <w:rPr>
          <w:rFonts w:eastAsia="Arial"/>
          <w:sz w:val="22"/>
        </w:rPr>
        <w:t>”.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Este principio básico reviste tal importancia que se encuentra también consagrado y reconocido en el artículo 13 de la Convención Americana de Derechos Humanos incorporado a nuestra Constitución Nacional en el artículo 75 inciso 22 que expresa: “</w:t>
      </w:r>
      <w:r w:rsidRPr="00EE7A60">
        <w:rPr>
          <w:rFonts w:eastAsia="Arial"/>
          <w:i/>
          <w:sz w:val="22"/>
        </w:rPr>
        <w:t>Toda persona tiene derecho a la libertad de pensamiento y de expresión. Este derecho comprende la libertad de buscar recibir y difundir informaciones e ideas de toda índole, sin consideración de fronteras, ya sea oralmente por escrito o en forma impresa o artística o cualquier otro procedimiento de su elección</w:t>
      </w:r>
      <w:r w:rsidRPr="00EE7A60">
        <w:rPr>
          <w:rFonts w:eastAsia="Arial"/>
          <w:sz w:val="22"/>
        </w:rPr>
        <w:t>”.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lastRenderedPageBreak/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Que, consecuentemente, los funcionarios que tienen a cargo de la administración de los fondos públicos tienen la obligación de rendir cuentas y dar a conocer sus actos, lo que se efectiviza con la publicidad de éstos, con un criterio amplio y de máxima difusión.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Así, la Corte Interamericana de Derechos Humanos falló que “</w:t>
      </w:r>
      <w:r w:rsidRPr="00EE7A60">
        <w:rPr>
          <w:rFonts w:eastAsia="Arial"/>
          <w:i/>
          <w:sz w:val="22"/>
        </w:rPr>
        <w:t>en una sociedad democrática es indispensable que las autoridades estatales se rijan por el principio de máxima divulgación, el cual establece la presunción de que toda información es accesible, sujeto a un sistema restringido de excepciones</w:t>
      </w:r>
      <w:r w:rsidRPr="00EE7A60">
        <w:rPr>
          <w:rFonts w:eastAsia="Arial"/>
          <w:sz w:val="22"/>
        </w:rPr>
        <w:t>” (Corte IDH, “Claude Reyes y otros vs. Chile”, sentencia del 19 de septiembre de 2006). En idéntico sentido se pronunció nuestro máximo Tribunal (CSJN, Savoia, Claudio Martín c/ EN - Secretaría Legal y Técnica (dto. 1172/03) s/ amparo ley 16.986 - S. 315. XLIX. REX - 07/03/2019 - Fallos: 342:208).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Por su parte, nuestra Corte Suprema de Justicia de la Nación expresó que “</w:t>
      </w:r>
      <w:r w:rsidRPr="00EE7A60">
        <w:rPr>
          <w:rFonts w:eastAsia="Arial"/>
          <w:i/>
          <w:sz w:val="22"/>
        </w:rPr>
        <w:t>Constituye un interés general, el que tiene la comunidad en que las gestiones de la administración pública -sean realizadas por sí misma o mediante la colaboración de los particulares- se encuentren presididas por el respeto a la buena fe, a la ética, y a la transparencia que hacen nada menos que a la forma republicana de gobierno</w:t>
      </w:r>
      <w:r w:rsidRPr="00EE7A60">
        <w:rPr>
          <w:rFonts w:eastAsia="Arial"/>
          <w:sz w:val="22"/>
        </w:rPr>
        <w:t>” (CSJN, Actuar Agrupación Consultores Técnicos Universitarios Argentinos S.A. y otros c/ Agua y Energía Eléctrica Sociedad del Estado s/ contrato administrativo - A. 308. XXXVI - 18/07/2002 - Fallos: 325:1787).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Resulta entonces indiscutido la relevancia y alcance de la publicidad de los actos de gobierno, y la obligación de todo funcionario de explicar sobre el manejo de los negocios públicos.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Consecuentemente, ocultar información, ser renuente a darla a conocer o entorpecer su difusión –por cualquier medio o estrategia que fuere–redundaría en una lisa y llana violación a los preceptos constitucionales e internacionales citados.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Ya de por sí, es una obligación natural y legal, pero a la vez despeja todo riesgo de corrupción. Un gobierno que no informa o no quiere informar sobre la marcha del manejo de los fondos públicos tiende un manto de sospecha sobre la regularidad y honestidad de su gestión.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En este sentido, señaló AGUSTIN GORDILLO, en su Tratado de Derecho Administrativo, que “</w:t>
      </w:r>
      <w:r w:rsidRPr="00EE7A60">
        <w:rPr>
          <w:rFonts w:eastAsia="Arial"/>
          <w:i/>
          <w:sz w:val="22"/>
        </w:rPr>
        <w:t xml:space="preserve">La falta de publicidad y transparencia es sospecha y antesala de corrupción, como surge inequívocamente de la Convención Interamericana contra la </w:t>
      </w:r>
      <w:r w:rsidRPr="00EE7A60">
        <w:rPr>
          <w:rFonts w:eastAsia="Arial"/>
          <w:i/>
          <w:sz w:val="22"/>
        </w:rPr>
        <w:lastRenderedPageBreak/>
        <w:t>Corrupción</w:t>
      </w:r>
      <w:r w:rsidRPr="00EE7A60">
        <w:rPr>
          <w:rFonts w:eastAsia="Arial"/>
          <w:sz w:val="22"/>
        </w:rPr>
        <w:t>” (Cfr. Tratado de Derecho Administrativo y obras Selectas, 1º Edición, Buenos Aires, F.D.A., 2014, Tomo II, Capítulo IX-18, Punto 10.2, pág. 407).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En igual sentido, Marcelo Colombo y Paula Honisch indican que “</w:t>
      </w:r>
      <w:r w:rsidRPr="00EE7A60">
        <w:rPr>
          <w:rFonts w:eastAsia="Arial"/>
          <w:i/>
          <w:sz w:val="22"/>
        </w:rPr>
        <w:t>El contexto propicio para la generación de actos de corrupción es aquel donde impera la falta de publicidad</w:t>
      </w:r>
      <w:r w:rsidRPr="00EE7A60">
        <w:rPr>
          <w:rFonts w:eastAsia="Arial"/>
          <w:sz w:val="22"/>
        </w:rPr>
        <w:t>” (Delitos en las contrataciones públicas, Ed. Ad-Hoc, 2012, pg. 46).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En este contexto, en la provincia de San Luis, se encuentra vigente la Ley V-0924-2015 que permite a todo ciudadano ejercer el derecho de buscar y acceder a la información pública, de manera tal que le permita participar activamente en las cosas públicas, incidir en la decisiones, ejercer control de quienes nos gobiernan, generar transparencia, disminuir la corrupción y mejorar la calidad institucional.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center"/>
        <w:rPr>
          <w:rFonts w:eastAsia="Arial"/>
          <w:color w:val="000000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Dicho texto legal determina que “</w:t>
      </w:r>
      <w:r w:rsidRPr="00EE7A60">
        <w:rPr>
          <w:rFonts w:eastAsia="Arial"/>
          <w:i/>
          <w:sz w:val="22"/>
        </w:rPr>
        <w:t>toda persona tiene derecho, de conformidad con el principio de publicidad de los actos de gobierno, a solicitar y a recibir información completa, veraz, adecuada y oportuna</w:t>
      </w:r>
      <w:r w:rsidRPr="00EE7A60">
        <w:rPr>
          <w:rFonts w:eastAsia="Arial"/>
          <w:sz w:val="22"/>
        </w:rPr>
        <w:t xml:space="preserve">”, y establece los mecanismos para su solicitud y las acciones en caso de silencio o denegatoria, parcial o total; como también establece la responsabilidad de los funcionarios o agentes que obstruyan el acceso a la información requerida indicando que incurrirán en falta grave, sin perjuicio de las </w:t>
      </w:r>
      <w:r w:rsidRPr="00EE7A60">
        <w:rPr>
          <w:rFonts w:eastAsia="Arial"/>
          <w:b/>
          <w:color w:val="000000"/>
          <w:sz w:val="22"/>
        </w:rPr>
        <w:t xml:space="preserve">CONCEJO DELIBERANTE DE LA MUNICIPALIDAD DE POTRERO DE LOS FUNES SANCIONA CON FUERZA DE 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b/>
          <w:color w:val="000000"/>
          <w:sz w:val="22"/>
        </w:rPr>
        <w:t>ORDENANZA</w:t>
      </w:r>
      <w:r w:rsidRPr="00EE7A60">
        <w:rPr>
          <w:rFonts w:eastAsia="Arial"/>
          <w:sz w:val="22"/>
        </w:rPr>
        <w:t xml:space="preserve"> responsabilidades que pudieren caberle conforme lo previsto en los Códigos Civil y Penal de la Nación.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>Que el artículo 14 de la Ley V-0924-2015 de Régimen de Acceso a la Información Pública de la provincia de San Luis, invita a su adhesión.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</w:r>
      <w:r w:rsidRPr="00EE7A60">
        <w:rPr>
          <w:rFonts w:eastAsia="Arial"/>
          <w:sz w:val="22"/>
        </w:rPr>
        <w:tab/>
        <w:t xml:space="preserve">Por ello, 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</w:rPr>
      </w:pP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center"/>
        <w:rPr>
          <w:rFonts w:eastAsia="Arial"/>
          <w:b/>
          <w:color w:val="000000"/>
          <w:sz w:val="22"/>
        </w:rPr>
      </w:pPr>
      <w:r w:rsidRPr="00EE7A60">
        <w:rPr>
          <w:rFonts w:eastAsia="Arial"/>
          <w:b/>
          <w:color w:val="000000"/>
          <w:sz w:val="22"/>
        </w:rPr>
        <w:t>EL HONORABLE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center"/>
        <w:rPr>
          <w:rFonts w:eastAsia="Arial"/>
          <w:color w:val="000000"/>
          <w:sz w:val="22"/>
        </w:rPr>
      </w:pPr>
      <w:r w:rsidRPr="00EE7A60">
        <w:rPr>
          <w:rFonts w:eastAsia="Arial"/>
          <w:b/>
          <w:color w:val="000000"/>
          <w:sz w:val="22"/>
        </w:rPr>
        <w:t>:</w:t>
      </w: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  <w:u w:val="single"/>
        </w:rPr>
      </w:pPr>
    </w:p>
    <w:p w:rsidR="00EE7A60" w:rsidRPr="00EE7A60" w:rsidRDefault="00EE7A60" w:rsidP="00EE7A60">
      <w:pPr>
        <w:pStyle w:val="normal0"/>
        <w:shd w:val="clear" w:color="auto" w:fill="FFFFFF"/>
        <w:spacing w:after="120" w:line="360" w:lineRule="auto"/>
        <w:jc w:val="both"/>
        <w:rPr>
          <w:rFonts w:eastAsia="Arial"/>
          <w:sz w:val="22"/>
          <w:u w:val="single"/>
        </w:rPr>
      </w:pPr>
      <w:r w:rsidRPr="00EE7A60">
        <w:rPr>
          <w:rFonts w:eastAsia="Arial"/>
          <w:sz w:val="22"/>
          <w:u w:val="single"/>
        </w:rPr>
        <w:t>Artículo 1º:</w:t>
      </w:r>
      <w:r w:rsidRPr="00EE7A60">
        <w:rPr>
          <w:rFonts w:eastAsia="Arial"/>
          <w:sz w:val="22"/>
          <w:u w:val="single"/>
        </w:rPr>
        <w:tab/>
        <w:t>ADHERIR a la Ley Nº V-0924-2015.</w:t>
      </w:r>
    </w:p>
    <w:p w:rsidR="00EE7A60" w:rsidRPr="00EE7A60" w:rsidRDefault="00EE7A60" w:rsidP="00EE7A60">
      <w:pPr>
        <w:pStyle w:val="normal0"/>
        <w:spacing w:after="120" w:line="360" w:lineRule="auto"/>
        <w:ind w:left="1080" w:hanging="1080"/>
        <w:jc w:val="both"/>
        <w:rPr>
          <w:rFonts w:eastAsia="Arial"/>
          <w:sz w:val="22"/>
          <w:u w:val="single"/>
        </w:rPr>
      </w:pPr>
      <w:r w:rsidRPr="00EE7A60">
        <w:rPr>
          <w:rFonts w:eastAsia="Arial"/>
          <w:sz w:val="22"/>
          <w:u w:val="single"/>
        </w:rPr>
        <w:t>Artículo 2º:</w:t>
      </w:r>
      <w:r w:rsidRPr="00EE7A60">
        <w:rPr>
          <w:rFonts w:eastAsia="Arial"/>
          <w:sz w:val="22"/>
          <w:u w:val="single"/>
        </w:rPr>
        <w:tab/>
      </w:r>
      <w:r w:rsidRPr="00EE7A60">
        <w:rPr>
          <w:rFonts w:eastAsia="Arial"/>
          <w:color w:val="000000"/>
          <w:sz w:val="22"/>
          <w:u w:val="single"/>
        </w:rPr>
        <w:t>Comuníquese, regístrese, publíquese y archívese.</w:t>
      </w:r>
    </w:p>
    <w:p w:rsidR="008F4AE2" w:rsidRPr="00EE7A60" w:rsidRDefault="008F4AE2" w:rsidP="008F4AE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Cs w:val="24"/>
          <w:lang w:val="es-AR"/>
        </w:rPr>
      </w:pPr>
    </w:p>
    <w:sectPr w:rsidR="008F4AE2" w:rsidRPr="00EE7A60" w:rsidSect="0037048E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0DF" w:rsidRDefault="00FA20DF" w:rsidP="00572B35">
      <w:pPr>
        <w:spacing w:after="0" w:line="240" w:lineRule="auto"/>
      </w:pPr>
      <w:r>
        <w:separator/>
      </w:r>
    </w:p>
  </w:endnote>
  <w:endnote w:type="continuationSeparator" w:id="1">
    <w:p w:rsidR="00FA20DF" w:rsidRDefault="00FA20DF" w:rsidP="005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572B35">
    <w:pPr>
      <w:pStyle w:val="Piedepgina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:rsidR="007B6382" w:rsidRPr="00572B35" w:rsidRDefault="007B6382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Honorable Concejo Deliberante de la Ciudad de Potrero de los Funes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0DF" w:rsidRDefault="00FA20DF" w:rsidP="00572B35">
      <w:pPr>
        <w:spacing w:after="0" w:line="240" w:lineRule="auto"/>
      </w:pPr>
      <w:r>
        <w:separator/>
      </w:r>
    </w:p>
  </w:footnote>
  <w:footnote w:type="continuationSeparator" w:id="1">
    <w:p w:rsidR="00FA20DF" w:rsidRDefault="00FA20DF" w:rsidP="005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7B6382">
    <w:pPr>
      <w:pStyle w:val="Encabezado"/>
      <w:jc w:val="center"/>
    </w:pPr>
    <w:r w:rsidRPr="00572B35">
      <w:rPr>
        <w:noProof/>
      </w:rPr>
      <w:drawing>
        <wp:inline distT="0" distB="0" distL="0" distR="0">
          <wp:extent cx="1783285" cy="892934"/>
          <wp:effectExtent l="19050" t="0" r="74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786663" cy="8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7B6382" w:rsidRPr="00EC689A" w:rsidRDefault="00EC689A" w:rsidP="007B6382">
    <w:pPr>
      <w:pStyle w:val="Encabezado"/>
      <w:jc w:val="center"/>
      <w:rPr>
        <w:b/>
        <w:u w:val="single"/>
      </w:rPr>
    </w:pPr>
    <w:r w:rsidRPr="00EC689A">
      <w:rPr>
        <w:b/>
      </w:rPr>
      <w:t>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B95"/>
    <w:multiLevelType w:val="hybridMultilevel"/>
    <w:tmpl w:val="A878A132"/>
    <w:lvl w:ilvl="0" w:tplc="F6A82F7E">
      <w:start w:val="1"/>
      <w:numFmt w:val="lowerLetter"/>
      <w:lvlText w:val="%1)"/>
      <w:lvlJc w:val="left"/>
      <w:pPr>
        <w:ind w:left="53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980" w:hanging="360"/>
      </w:pPr>
    </w:lvl>
    <w:lvl w:ilvl="2" w:tplc="2C0A001B" w:tentative="1">
      <w:start w:val="1"/>
      <w:numFmt w:val="lowerRoman"/>
      <w:lvlText w:val="%3."/>
      <w:lvlJc w:val="right"/>
      <w:pPr>
        <w:ind w:left="5700" w:hanging="180"/>
      </w:pPr>
    </w:lvl>
    <w:lvl w:ilvl="3" w:tplc="2C0A000F" w:tentative="1">
      <w:start w:val="1"/>
      <w:numFmt w:val="decimal"/>
      <w:lvlText w:val="%4."/>
      <w:lvlJc w:val="left"/>
      <w:pPr>
        <w:ind w:left="6420" w:hanging="360"/>
      </w:pPr>
    </w:lvl>
    <w:lvl w:ilvl="4" w:tplc="2C0A0019" w:tentative="1">
      <w:start w:val="1"/>
      <w:numFmt w:val="lowerLetter"/>
      <w:lvlText w:val="%5."/>
      <w:lvlJc w:val="left"/>
      <w:pPr>
        <w:ind w:left="7140" w:hanging="360"/>
      </w:pPr>
    </w:lvl>
    <w:lvl w:ilvl="5" w:tplc="F6A82F7E">
      <w:start w:val="1"/>
      <w:numFmt w:val="lowerLetter"/>
      <w:lvlText w:val="%6)"/>
      <w:lvlJc w:val="left"/>
      <w:pPr>
        <w:ind w:left="7860" w:hanging="180"/>
      </w:pPr>
      <w:rPr>
        <w:rFonts w:hint="default"/>
      </w:rPr>
    </w:lvl>
    <w:lvl w:ilvl="6" w:tplc="2C0A000F" w:tentative="1">
      <w:start w:val="1"/>
      <w:numFmt w:val="decimal"/>
      <w:lvlText w:val="%7."/>
      <w:lvlJc w:val="left"/>
      <w:pPr>
        <w:ind w:left="8580" w:hanging="360"/>
      </w:pPr>
    </w:lvl>
    <w:lvl w:ilvl="7" w:tplc="2C0A0019" w:tentative="1">
      <w:start w:val="1"/>
      <w:numFmt w:val="lowerLetter"/>
      <w:lvlText w:val="%8."/>
      <w:lvlJc w:val="left"/>
      <w:pPr>
        <w:ind w:left="9300" w:hanging="360"/>
      </w:pPr>
    </w:lvl>
    <w:lvl w:ilvl="8" w:tplc="2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12EE6E35"/>
    <w:multiLevelType w:val="hybridMultilevel"/>
    <w:tmpl w:val="8E00064E"/>
    <w:lvl w:ilvl="0" w:tplc="609C9BEA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00971"/>
    <w:multiLevelType w:val="hybridMultilevel"/>
    <w:tmpl w:val="F290322E"/>
    <w:lvl w:ilvl="0" w:tplc="D680868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CEB17D6"/>
    <w:multiLevelType w:val="hybridMultilevel"/>
    <w:tmpl w:val="C7523DAA"/>
    <w:lvl w:ilvl="0" w:tplc="664AB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5B54"/>
    <w:multiLevelType w:val="hybridMultilevel"/>
    <w:tmpl w:val="36A83A32"/>
    <w:lvl w:ilvl="0" w:tplc="81AE6E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B79FB"/>
    <w:multiLevelType w:val="hybridMultilevel"/>
    <w:tmpl w:val="F9C0D168"/>
    <w:lvl w:ilvl="0" w:tplc="A6A46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5084A"/>
    <w:multiLevelType w:val="hybridMultilevel"/>
    <w:tmpl w:val="60364ABA"/>
    <w:lvl w:ilvl="0" w:tplc="F6A82F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63853345"/>
    <w:multiLevelType w:val="hybridMultilevel"/>
    <w:tmpl w:val="1592C192"/>
    <w:lvl w:ilvl="0" w:tplc="2C0A0011">
      <w:start w:val="1"/>
      <w:numFmt w:val="decimal"/>
      <w:lvlText w:val="%1)"/>
      <w:lvlJc w:val="left"/>
      <w:pPr>
        <w:ind w:left="2490" w:hanging="360"/>
      </w:pPr>
    </w:lvl>
    <w:lvl w:ilvl="1" w:tplc="2C0A0019" w:tentative="1">
      <w:start w:val="1"/>
      <w:numFmt w:val="lowerLetter"/>
      <w:lvlText w:val="%2."/>
      <w:lvlJc w:val="left"/>
      <w:pPr>
        <w:ind w:left="3210" w:hanging="360"/>
      </w:pPr>
    </w:lvl>
    <w:lvl w:ilvl="2" w:tplc="2C0A001B" w:tentative="1">
      <w:start w:val="1"/>
      <w:numFmt w:val="lowerRoman"/>
      <w:lvlText w:val="%3."/>
      <w:lvlJc w:val="right"/>
      <w:pPr>
        <w:ind w:left="3930" w:hanging="180"/>
      </w:pPr>
    </w:lvl>
    <w:lvl w:ilvl="3" w:tplc="2C0A000F" w:tentative="1">
      <w:start w:val="1"/>
      <w:numFmt w:val="decimal"/>
      <w:lvlText w:val="%4."/>
      <w:lvlJc w:val="left"/>
      <w:pPr>
        <w:ind w:left="4650" w:hanging="360"/>
      </w:pPr>
    </w:lvl>
    <w:lvl w:ilvl="4" w:tplc="2C0A0019" w:tentative="1">
      <w:start w:val="1"/>
      <w:numFmt w:val="lowerLetter"/>
      <w:lvlText w:val="%5."/>
      <w:lvlJc w:val="left"/>
      <w:pPr>
        <w:ind w:left="5370" w:hanging="360"/>
      </w:pPr>
    </w:lvl>
    <w:lvl w:ilvl="5" w:tplc="2C0A001B" w:tentative="1">
      <w:start w:val="1"/>
      <w:numFmt w:val="lowerRoman"/>
      <w:lvlText w:val="%6."/>
      <w:lvlJc w:val="right"/>
      <w:pPr>
        <w:ind w:left="6090" w:hanging="180"/>
      </w:pPr>
    </w:lvl>
    <w:lvl w:ilvl="6" w:tplc="2C0A000F" w:tentative="1">
      <w:start w:val="1"/>
      <w:numFmt w:val="decimal"/>
      <w:lvlText w:val="%7."/>
      <w:lvlJc w:val="left"/>
      <w:pPr>
        <w:ind w:left="6810" w:hanging="360"/>
      </w:pPr>
    </w:lvl>
    <w:lvl w:ilvl="7" w:tplc="2C0A0019" w:tentative="1">
      <w:start w:val="1"/>
      <w:numFmt w:val="lowerLetter"/>
      <w:lvlText w:val="%8."/>
      <w:lvlJc w:val="left"/>
      <w:pPr>
        <w:ind w:left="7530" w:hanging="360"/>
      </w:pPr>
    </w:lvl>
    <w:lvl w:ilvl="8" w:tplc="2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>
    <w:nsid w:val="71BF080E"/>
    <w:multiLevelType w:val="hybridMultilevel"/>
    <w:tmpl w:val="60364ABA"/>
    <w:lvl w:ilvl="0" w:tplc="F6A82F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7F3F61E9"/>
    <w:multiLevelType w:val="hybridMultilevel"/>
    <w:tmpl w:val="90720F12"/>
    <w:lvl w:ilvl="0" w:tplc="DAC68A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2B35"/>
    <w:rsid w:val="00004192"/>
    <w:rsid w:val="0001505B"/>
    <w:rsid w:val="00031E62"/>
    <w:rsid w:val="000A2193"/>
    <w:rsid w:val="00161069"/>
    <w:rsid w:val="001C6042"/>
    <w:rsid w:val="001D039E"/>
    <w:rsid w:val="001D6C12"/>
    <w:rsid w:val="001D7459"/>
    <w:rsid w:val="001F256B"/>
    <w:rsid w:val="00212A53"/>
    <w:rsid w:val="00233B6F"/>
    <w:rsid w:val="00276F9D"/>
    <w:rsid w:val="0028265F"/>
    <w:rsid w:val="00282CEA"/>
    <w:rsid w:val="00293475"/>
    <w:rsid w:val="00294F0E"/>
    <w:rsid w:val="00295C10"/>
    <w:rsid w:val="002C0643"/>
    <w:rsid w:val="002C4729"/>
    <w:rsid w:val="002D063C"/>
    <w:rsid w:val="002E4EC1"/>
    <w:rsid w:val="00317BB6"/>
    <w:rsid w:val="00324820"/>
    <w:rsid w:val="0033130C"/>
    <w:rsid w:val="003624B7"/>
    <w:rsid w:val="0037048E"/>
    <w:rsid w:val="00372FA3"/>
    <w:rsid w:val="003C335E"/>
    <w:rsid w:val="003C5CBF"/>
    <w:rsid w:val="003D3C13"/>
    <w:rsid w:val="004142A3"/>
    <w:rsid w:val="0046790D"/>
    <w:rsid w:val="00472E6C"/>
    <w:rsid w:val="00483B0B"/>
    <w:rsid w:val="004B30C3"/>
    <w:rsid w:val="004D277C"/>
    <w:rsid w:val="004E3CD9"/>
    <w:rsid w:val="005033DC"/>
    <w:rsid w:val="00511A58"/>
    <w:rsid w:val="00572B35"/>
    <w:rsid w:val="00577594"/>
    <w:rsid w:val="00593D28"/>
    <w:rsid w:val="005B14F3"/>
    <w:rsid w:val="005B37B7"/>
    <w:rsid w:val="005E7581"/>
    <w:rsid w:val="005F590E"/>
    <w:rsid w:val="00610AEC"/>
    <w:rsid w:val="00613B87"/>
    <w:rsid w:val="00635EB9"/>
    <w:rsid w:val="00645822"/>
    <w:rsid w:val="00666E9E"/>
    <w:rsid w:val="006A0FC3"/>
    <w:rsid w:val="006B1996"/>
    <w:rsid w:val="006B6A9B"/>
    <w:rsid w:val="006C3AA0"/>
    <w:rsid w:val="00703D4B"/>
    <w:rsid w:val="00737023"/>
    <w:rsid w:val="0075295F"/>
    <w:rsid w:val="00760FCF"/>
    <w:rsid w:val="00776E52"/>
    <w:rsid w:val="00793063"/>
    <w:rsid w:val="007A46D8"/>
    <w:rsid w:val="007B3E17"/>
    <w:rsid w:val="007B6382"/>
    <w:rsid w:val="007F0212"/>
    <w:rsid w:val="00803679"/>
    <w:rsid w:val="00815DFA"/>
    <w:rsid w:val="008442F3"/>
    <w:rsid w:val="00847EF9"/>
    <w:rsid w:val="008868F7"/>
    <w:rsid w:val="008C7855"/>
    <w:rsid w:val="008D152E"/>
    <w:rsid w:val="008F4AE2"/>
    <w:rsid w:val="00906F20"/>
    <w:rsid w:val="0092112A"/>
    <w:rsid w:val="009228AC"/>
    <w:rsid w:val="009259E4"/>
    <w:rsid w:val="00931B75"/>
    <w:rsid w:val="00967524"/>
    <w:rsid w:val="00970DA7"/>
    <w:rsid w:val="00980781"/>
    <w:rsid w:val="009A33F2"/>
    <w:rsid w:val="009B060B"/>
    <w:rsid w:val="009F791F"/>
    <w:rsid w:val="00A00479"/>
    <w:rsid w:val="00A07781"/>
    <w:rsid w:val="00A41658"/>
    <w:rsid w:val="00A51E55"/>
    <w:rsid w:val="00A56C45"/>
    <w:rsid w:val="00A87C63"/>
    <w:rsid w:val="00A94A6E"/>
    <w:rsid w:val="00AA36C2"/>
    <w:rsid w:val="00AB3816"/>
    <w:rsid w:val="00AB62CE"/>
    <w:rsid w:val="00AB70A9"/>
    <w:rsid w:val="00AD7495"/>
    <w:rsid w:val="00AE6A0B"/>
    <w:rsid w:val="00AF343E"/>
    <w:rsid w:val="00AF6038"/>
    <w:rsid w:val="00B40D5C"/>
    <w:rsid w:val="00B467A1"/>
    <w:rsid w:val="00BB5CAB"/>
    <w:rsid w:val="00BC2986"/>
    <w:rsid w:val="00BD1099"/>
    <w:rsid w:val="00BF765B"/>
    <w:rsid w:val="00BF7BFD"/>
    <w:rsid w:val="00C31159"/>
    <w:rsid w:val="00C41DED"/>
    <w:rsid w:val="00C46443"/>
    <w:rsid w:val="00C849AF"/>
    <w:rsid w:val="00CB2496"/>
    <w:rsid w:val="00D40AB9"/>
    <w:rsid w:val="00D5513D"/>
    <w:rsid w:val="00D76EBD"/>
    <w:rsid w:val="00D82C8A"/>
    <w:rsid w:val="00DA2D5E"/>
    <w:rsid w:val="00DA3D0C"/>
    <w:rsid w:val="00DD014E"/>
    <w:rsid w:val="00E216E3"/>
    <w:rsid w:val="00E23669"/>
    <w:rsid w:val="00E36F73"/>
    <w:rsid w:val="00E56FEE"/>
    <w:rsid w:val="00E75610"/>
    <w:rsid w:val="00E82A29"/>
    <w:rsid w:val="00E86B3E"/>
    <w:rsid w:val="00EC119D"/>
    <w:rsid w:val="00EC354D"/>
    <w:rsid w:val="00EC53DB"/>
    <w:rsid w:val="00EC689A"/>
    <w:rsid w:val="00EE7A60"/>
    <w:rsid w:val="00EF28C0"/>
    <w:rsid w:val="00F168CA"/>
    <w:rsid w:val="00F26100"/>
    <w:rsid w:val="00F33AB7"/>
    <w:rsid w:val="00F64B47"/>
    <w:rsid w:val="00F85635"/>
    <w:rsid w:val="00F93167"/>
    <w:rsid w:val="00FA20DF"/>
    <w:rsid w:val="00FA2D93"/>
    <w:rsid w:val="00FD2B5E"/>
    <w:rsid w:val="00FD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35"/>
  </w:style>
  <w:style w:type="paragraph" w:styleId="Ttulo1">
    <w:name w:val="heading 1"/>
    <w:basedOn w:val="Normal"/>
    <w:link w:val="Ttulo1Car"/>
    <w:uiPriority w:val="1"/>
    <w:qFormat/>
    <w:rsid w:val="003C335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35"/>
  </w:style>
  <w:style w:type="paragraph" w:styleId="Piedepgina">
    <w:name w:val="footer"/>
    <w:basedOn w:val="Normal"/>
    <w:link w:val="Piedepgina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35"/>
  </w:style>
  <w:style w:type="paragraph" w:styleId="Textodeglobo">
    <w:name w:val="Balloon Text"/>
    <w:basedOn w:val="Normal"/>
    <w:link w:val="TextodegloboCar"/>
    <w:uiPriority w:val="99"/>
    <w:semiHidden/>
    <w:unhideWhenUsed/>
    <w:rsid w:val="0057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D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C335E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C3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35E"/>
    <w:rPr>
      <w:rFonts w:ascii="Arial MT" w:eastAsia="Arial MT" w:hAnsi="Arial MT" w:cs="Arial MT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A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rsid w:val="00EE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907F-66C5-4458-AB46-B4E0B11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894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cp:lastPrinted>2022-01-10T15:24:00Z</cp:lastPrinted>
  <dcterms:created xsi:type="dcterms:W3CDTF">2022-06-15T14:38:00Z</dcterms:created>
  <dcterms:modified xsi:type="dcterms:W3CDTF">2022-10-12T13:52:00Z</dcterms:modified>
</cp:coreProperties>
</file>